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909A" w14:textId="77777777" w:rsidR="00C315BE" w:rsidRDefault="00B35833">
      <w:pPr>
        <w:spacing w:after="69" w:line="259" w:lineRule="auto"/>
        <w:ind w:left="0" w:right="3" w:firstLine="0"/>
        <w:jc w:val="center"/>
      </w:pPr>
      <w:r>
        <w:t xml:space="preserve"> </w:t>
      </w:r>
    </w:p>
    <w:p w14:paraId="3FF30D88" w14:textId="77777777" w:rsidR="00C315BE" w:rsidRDefault="00B35833">
      <w:pPr>
        <w:spacing w:after="0" w:line="259" w:lineRule="auto"/>
        <w:ind w:left="0" w:right="65" w:firstLine="0"/>
        <w:jc w:val="center"/>
      </w:pPr>
      <w:r>
        <w:rPr>
          <w:b/>
          <w:sz w:val="32"/>
        </w:rPr>
        <w:t xml:space="preserve">Year 7 Catch-Up Premium Report </w:t>
      </w:r>
    </w:p>
    <w:p w14:paraId="6A5AECFA" w14:textId="77777777" w:rsidR="00C315BE" w:rsidRDefault="00B35833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3D422A1B" w14:textId="572F9DCD" w:rsidR="00C315BE" w:rsidRDefault="00B35833">
      <w:pPr>
        <w:ind w:left="-5" w:right="49"/>
      </w:pPr>
      <w:r>
        <w:t>The DfE has made additional funds available for improving the attainment of our disa</w:t>
      </w:r>
      <w:r w:rsidR="00403590">
        <w:t xml:space="preserve">dvantaged pupils. This grant is </w:t>
      </w:r>
      <w:r>
        <w:t xml:space="preserve">known </w:t>
      </w:r>
      <w:r w:rsidR="00261471">
        <w:t xml:space="preserve">as </w:t>
      </w:r>
      <w:r>
        <w:t xml:space="preserve">the Year 7 Catch-Up Premium. The funds are primarily aimed at improving maths and English levels at key stage 2 (KS2). An allocation is made for every pupil who has not achieved the ‘expected standard’ in reading or maths at KS2 as per the October school census. </w:t>
      </w:r>
    </w:p>
    <w:p w14:paraId="0DCDA297" w14:textId="2B8661D7" w:rsidR="00C315BE" w:rsidRDefault="00B35833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E343B0" w14:textId="6682A07B" w:rsidR="00C315BE" w:rsidRDefault="00BE5254">
      <w:pPr>
        <w:ind w:left="-5" w:right="49"/>
      </w:pPr>
      <w:r>
        <w:t>All students at Hollis</w:t>
      </w:r>
      <w:r w:rsidR="00B35833">
        <w:t xml:space="preserve"> Academy have an EHCP for Social, Emotional and Mental Health issues </w:t>
      </w:r>
    </w:p>
    <w:p w14:paraId="3DA87FB1" w14:textId="77777777" w:rsidR="00C315BE" w:rsidRDefault="00B3583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30" w:type="dxa"/>
        <w:tblInd w:w="98" w:type="dxa"/>
        <w:tblCellMar>
          <w:top w:w="33" w:type="dxa"/>
          <w:left w:w="108" w:type="dxa"/>
          <w:bottom w:w="6" w:type="dxa"/>
          <w:right w:w="500" w:type="dxa"/>
        </w:tblCellMar>
        <w:tblLook w:val="04A0" w:firstRow="1" w:lastRow="0" w:firstColumn="1" w:lastColumn="0" w:noHBand="0" w:noVBand="1"/>
      </w:tblPr>
      <w:tblGrid>
        <w:gridCol w:w="6961"/>
        <w:gridCol w:w="2269"/>
      </w:tblGrid>
      <w:tr w:rsidR="00C315BE" w14:paraId="73A11941" w14:textId="77777777" w:rsidTr="0230F825">
        <w:trPr>
          <w:trHeight w:val="408"/>
        </w:trPr>
        <w:tc>
          <w:tcPr>
            <w:tcW w:w="6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4379175" w14:textId="5809038C" w:rsidR="00C315BE" w:rsidRDefault="00B35833">
            <w:pPr>
              <w:spacing w:after="0" w:line="259" w:lineRule="auto"/>
              <w:ind w:left="0" w:right="59" w:firstLine="0"/>
              <w:jc w:val="right"/>
            </w:pPr>
            <w:r w:rsidRPr="13ABB9EF">
              <w:rPr>
                <w:b/>
                <w:bCs/>
              </w:rPr>
              <w:t>Year 7 Catch-Up Premium 20</w:t>
            </w:r>
            <w:r w:rsidR="7397A1A3" w:rsidRPr="13ABB9EF">
              <w:rPr>
                <w:b/>
                <w:bCs/>
              </w:rPr>
              <w:t>19</w:t>
            </w:r>
            <w:r w:rsidR="5CD82AB3" w:rsidRPr="13ABB9EF">
              <w:rPr>
                <w:b/>
                <w:bCs/>
              </w:rPr>
              <w:t>-2</w:t>
            </w:r>
            <w:r w:rsidR="6544A473" w:rsidRPr="13ABB9EF">
              <w:rPr>
                <w:b/>
                <w:bCs/>
              </w:rPr>
              <w:t>0</w:t>
            </w:r>
            <w:r w:rsidRPr="13ABB9EF">
              <w:rPr>
                <w:b/>
                <w:bCs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D3D50C" w14:textId="77777777" w:rsidR="00C315BE" w:rsidRDefault="00C315B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315BE" w14:paraId="53D59855" w14:textId="77777777" w:rsidTr="0230F825">
        <w:trPr>
          <w:trHeight w:val="572"/>
        </w:trPr>
        <w:tc>
          <w:tcPr>
            <w:tcW w:w="6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2C209" w14:textId="77777777" w:rsidR="00C315BE" w:rsidRDefault="00B35833">
            <w:pPr>
              <w:spacing w:after="0" w:line="259" w:lineRule="auto"/>
              <w:ind w:left="0" w:right="0" w:firstLine="0"/>
              <w:jc w:val="left"/>
            </w:pPr>
            <w:r>
              <w:t xml:space="preserve">Total number of pupils on roll: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EA8AA5" w14:textId="237A3FCC" w:rsidR="00C315BE" w:rsidRDefault="00B35833" w:rsidP="13ABB9EF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 xml:space="preserve"> </w:t>
            </w:r>
            <w:r w:rsidR="5CBB30BB">
              <w:t>78</w:t>
            </w:r>
          </w:p>
        </w:tc>
      </w:tr>
      <w:tr w:rsidR="00C315BE" w14:paraId="130EE8D2" w14:textId="77777777" w:rsidTr="0230F825">
        <w:trPr>
          <w:trHeight w:val="566"/>
        </w:trPr>
        <w:tc>
          <w:tcPr>
            <w:tcW w:w="6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1DE27" w14:textId="77777777" w:rsidR="00C315BE" w:rsidRDefault="00B35833">
            <w:pPr>
              <w:spacing w:after="0" w:line="259" w:lineRule="auto"/>
              <w:ind w:left="0" w:right="0" w:firstLine="0"/>
              <w:jc w:val="left"/>
            </w:pPr>
            <w:r>
              <w:t xml:space="preserve">Total number of pupils eligible for Year 7 Catch-Up Premium: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F45FE0" w14:textId="77777777" w:rsidR="00C315BE" w:rsidRDefault="00B35833" w:rsidP="13ABB9EF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 xml:space="preserve">10 </w:t>
            </w:r>
          </w:p>
        </w:tc>
      </w:tr>
      <w:tr w:rsidR="00C315BE" w14:paraId="53C40E87" w14:textId="77777777" w:rsidTr="0230F825">
        <w:trPr>
          <w:trHeight w:val="569"/>
        </w:trPr>
        <w:tc>
          <w:tcPr>
            <w:tcW w:w="6961" w:type="dxa"/>
            <w:tcBorders>
              <w:top w:val="single" w:sz="17" w:space="0" w:color="000000" w:themeColor="text1"/>
              <w:left w:val="single" w:sz="17" w:space="0" w:color="000000" w:themeColor="text1"/>
              <w:bottom w:val="single" w:sz="17" w:space="0" w:color="000000" w:themeColor="text1"/>
              <w:right w:val="single" w:sz="17" w:space="0" w:color="000000" w:themeColor="text1"/>
            </w:tcBorders>
            <w:vAlign w:val="center"/>
          </w:tcPr>
          <w:p w14:paraId="5E805808" w14:textId="77777777" w:rsidR="00C315BE" w:rsidRDefault="00B358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amount of Year 7 Catch-Up Premium received </w:t>
            </w:r>
          </w:p>
        </w:tc>
        <w:tc>
          <w:tcPr>
            <w:tcW w:w="2269" w:type="dxa"/>
            <w:tcBorders>
              <w:top w:val="single" w:sz="17" w:space="0" w:color="000000" w:themeColor="text1"/>
              <w:left w:val="single" w:sz="17" w:space="0" w:color="000000" w:themeColor="text1"/>
              <w:bottom w:val="single" w:sz="17" w:space="0" w:color="000000" w:themeColor="text1"/>
              <w:right w:val="single" w:sz="17" w:space="0" w:color="000000" w:themeColor="text1"/>
            </w:tcBorders>
          </w:tcPr>
          <w:p w14:paraId="7CBE10A8" w14:textId="6EAE7E62" w:rsidR="00C315BE" w:rsidRDefault="00B35833">
            <w:pPr>
              <w:spacing w:after="0" w:line="259" w:lineRule="auto"/>
              <w:ind w:left="0" w:right="0" w:firstLine="0"/>
              <w:jc w:val="left"/>
            </w:pPr>
            <w:r w:rsidRPr="7D5C9B6F">
              <w:rPr>
                <w:b/>
                <w:bCs/>
              </w:rPr>
              <w:t>£</w:t>
            </w:r>
            <w:r w:rsidR="47219ABC" w:rsidRPr="7D5C9B6F">
              <w:rPr>
                <w:b/>
                <w:bCs/>
              </w:rPr>
              <w:t>1,563</w:t>
            </w:r>
            <w:r w:rsidRPr="7D5C9B6F">
              <w:rPr>
                <w:b/>
                <w:bCs/>
              </w:rPr>
              <w:t xml:space="preserve"> </w:t>
            </w:r>
          </w:p>
          <w:p w14:paraId="2291F07F" w14:textId="77777777" w:rsidR="00C315BE" w:rsidRDefault="00B358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36E3B71" w14:textId="77777777" w:rsidR="00C315BE" w:rsidRDefault="00B3583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6EB3531" w14:textId="77777777" w:rsidR="00C315BE" w:rsidRDefault="00B35833">
      <w:pPr>
        <w:spacing w:after="0" w:line="259" w:lineRule="auto"/>
        <w:ind w:left="0" w:right="0" w:firstLine="0"/>
        <w:jc w:val="right"/>
      </w:pPr>
      <w:r>
        <w:rPr>
          <w:b/>
          <w:color w:val="FFD006"/>
        </w:rPr>
        <w:t xml:space="preserve"> </w:t>
      </w:r>
    </w:p>
    <w:tbl>
      <w:tblPr>
        <w:tblStyle w:val="TableGrid"/>
        <w:tblW w:w="9213" w:type="dxa"/>
        <w:tblInd w:w="114" w:type="dxa"/>
        <w:tblCellMar>
          <w:top w:w="10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9213"/>
      </w:tblGrid>
      <w:tr w:rsidR="00C315BE" w14:paraId="61FBDED3" w14:textId="77777777" w:rsidTr="13ABB9EF">
        <w:trPr>
          <w:trHeight w:val="397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647C29" w14:textId="1189B8F5" w:rsidR="00C315BE" w:rsidRDefault="00B35833">
            <w:pPr>
              <w:spacing w:after="0" w:line="259" w:lineRule="auto"/>
              <w:ind w:left="0" w:firstLine="0"/>
              <w:jc w:val="center"/>
            </w:pPr>
            <w:r w:rsidRPr="13ABB9EF">
              <w:rPr>
                <w:b/>
                <w:bCs/>
              </w:rPr>
              <w:t>Spending of the Year 7 Catch-Up Premium 20</w:t>
            </w:r>
            <w:r w:rsidR="0ED19373" w:rsidRPr="13ABB9EF">
              <w:rPr>
                <w:b/>
                <w:bCs/>
              </w:rPr>
              <w:t>19</w:t>
            </w:r>
            <w:r w:rsidR="44B2F03D" w:rsidRPr="13ABB9EF">
              <w:rPr>
                <w:b/>
                <w:bCs/>
              </w:rPr>
              <w:t>-</w:t>
            </w:r>
            <w:r w:rsidR="32572263" w:rsidRPr="13ABB9EF">
              <w:rPr>
                <w:b/>
                <w:bCs/>
              </w:rPr>
              <w:t>20</w:t>
            </w:r>
            <w:r>
              <w:t xml:space="preserve"> </w:t>
            </w:r>
          </w:p>
        </w:tc>
      </w:tr>
      <w:tr w:rsidR="00C315BE" w14:paraId="19BB628F" w14:textId="77777777" w:rsidTr="13ABB9EF">
        <w:trPr>
          <w:trHeight w:val="301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16A02BC2" w14:textId="77777777" w:rsidR="00C315BE" w:rsidRDefault="00B35833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Objectives: </w:t>
            </w:r>
          </w:p>
        </w:tc>
      </w:tr>
      <w:tr w:rsidR="00C315BE" w14:paraId="30BDB7F4" w14:textId="77777777" w:rsidTr="13ABB9EF">
        <w:trPr>
          <w:trHeight w:val="881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BA73" w14:textId="77777777" w:rsidR="00C315BE" w:rsidRDefault="00B35833">
            <w:pPr>
              <w:spacing w:after="0" w:line="259" w:lineRule="auto"/>
              <w:ind w:left="0" w:right="0" w:firstLine="0"/>
              <w:jc w:val="left"/>
            </w:pPr>
            <w:r>
              <w:t xml:space="preserve">To support the attainment of these pupils and aid their progression into the secondary curriculum. </w:t>
            </w:r>
          </w:p>
        </w:tc>
      </w:tr>
      <w:tr w:rsidR="00C315BE" w14:paraId="2C54FA18" w14:textId="77777777" w:rsidTr="13ABB9EF">
        <w:trPr>
          <w:trHeight w:val="274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</w:tcPr>
          <w:p w14:paraId="7946CDE0" w14:textId="77777777" w:rsidR="00C315BE" w:rsidRDefault="00B3583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Summary of spending: </w:t>
            </w:r>
          </w:p>
        </w:tc>
      </w:tr>
      <w:tr w:rsidR="00C315BE" w14:paraId="5696B8A0" w14:textId="77777777" w:rsidTr="00AB2696">
        <w:trPr>
          <w:trHeight w:val="3352"/>
        </w:trPr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B3DF7" w14:textId="207A0290" w:rsidR="00C315BE" w:rsidRDefault="00AB2696">
            <w:pPr>
              <w:spacing w:after="0" w:line="275" w:lineRule="auto"/>
              <w:ind w:left="0" w:right="59" w:firstLine="0"/>
            </w:pPr>
            <w:r>
              <w:t xml:space="preserve">The main focus of the Year 7 Catch-up budget </w:t>
            </w:r>
            <w:r w:rsidR="00B35833">
              <w:t xml:space="preserve">was </w:t>
            </w:r>
            <w:r>
              <w:t xml:space="preserve">for literacy and it was </w:t>
            </w:r>
            <w:r w:rsidR="00B35833">
              <w:t xml:space="preserve">spent on opportunities to enrich </w:t>
            </w:r>
            <w:r>
              <w:t xml:space="preserve">students’ literacy </w:t>
            </w:r>
            <w:r w:rsidR="00B35833">
              <w:t>skills. This was done through a mixture of activities through the main school curriculum but also through interventions on a one to one and small group basis. Many students arrive having missed some time at Primary schools</w:t>
            </w:r>
            <w:r w:rsidR="00261471">
              <w:t>,</w:t>
            </w:r>
            <w:bookmarkStart w:id="0" w:name="_GoBack"/>
            <w:bookmarkEnd w:id="0"/>
            <w:r w:rsidR="00B35833">
              <w:t xml:space="preserve"> so to gain a clearer picture of their abilities and ne</w:t>
            </w:r>
            <w:r>
              <w:t>eds</w:t>
            </w:r>
            <w:r w:rsidR="00261471">
              <w:t>,</w:t>
            </w:r>
            <w:r>
              <w:t xml:space="preserve"> the Lexia programme is an important tool</w:t>
            </w:r>
            <w:r w:rsidR="00B35833">
              <w:t>. This information was then used to provide individual and small group inte</w:t>
            </w:r>
            <w:r>
              <w:t>rvention for Literacy</w:t>
            </w:r>
            <w:r w:rsidR="00421223">
              <w:t xml:space="preserve"> </w:t>
            </w:r>
            <w:r w:rsidR="00B35833">
              <w:t xml:space="preserve">that enabled students to fill in any knowledge gaps and enable them to better engage with their subjects.  </w:t>
            </w:r>
          </w:p>
          <w:p w14:paraId="7154FF00" w14:textId="77777777" w:rsidR="00C315BE" w:rsidRDefault="00B35833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4C78DC5" w14:textId="35C5F79C" w:rsidR="00C315BE" w:rsidRDefault="00B35833" w:rsidP="00AB2696">
            <w:pPr>
              <w:spacing w:after="0" w:line="259" w:lineRule="auto"/>
              <w:ind w:left="0" w:right="62" w:firstLine="0"/>
            </w:pPr>
            <w:r>
              <w:t xml:space="preserve">Further funding was then spent on providing </w:t>
            </w:r>
            <w:r w:rsidR="00AB2696">
              <w:t xml:space="preserve">ICT </w:t>
            </w:r>
            <w:r>
              <w:t xml:space="preserve">resources for students to use in addition to their usual curriculum resources. </w:t>
            </w:r>
            <w:r w:rsidR="00403590">
              <w:t>This included 2 Ipads and a further 8 were bought from other funding streams to support the learning of individuals.</w:t>
            </w:r>
          </w:p>
        </w:tc>
      </w:tr>
    </w:tbl>
    <w:p w14:paraId="6F35A7D7" w14:textId="7E177756" w:rsidR="00C315BE" w:rsidRDefault="00B35833">
      <w:pPr>
        <w:spacing w:after="0" w:line="259" w:lineRule="auto"/>
        <w:ind w:left="0" w:firstLine="0"/>
        <w:jc w:val="right"/>
      </w:pPr>
      <w:r>
        <w:t xml:space="preserve"> </w:t>
      </w:r>
    </w:p>
    <w:p w14:paraId="63F5A647" w14:textId="68933EFC" w:rsidR="00A42BC3" w:rsidRDefault="00B3583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114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C315BE" w14:paraId="0BC53439" w14:textId="77777777">
        <w:trPr>
          <w:trHeight w:val="26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162CE6" w14:textId="77777777" w:rsidR="00C315BE" w:rsidRDefault="00B3583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Interventions: </w:t>
            </w:r>
          </w:p>
        </w:tc>
      </w:tr>
      <w:tr w:rsidR="00C315BE" w14:paraId="0EEEBB88" w14:textId="77777777" w:rsidTr="00A42BC3">
        <w:trPr>
          <w:trHeight w:val="211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18D2" w14:textId="77777777" w:rsidR="00C315BE" w:rsidRDefault="00B35833">
            <w:pPr>
              <w:spacing w:after="17" w:line="275" w:lineRule="auto"/>
              <w:ind w:left="0" w:right="0" w:firstLine="0"/>
              <w:jc w:val="left"/>
            </w:pPr>
            <w:r>
              <w:t xml:space="preserve">We offer a range of targeted support interventions based upon individual need.  Interventions offered: </w:t>
            </w:r>
          </w:p>
          <w:p w14:paraId="38D1E6EA" w14:textId="77777777" w:rsidR="00C315BE" w:rsidRDefault="00B35833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Lexia for Literacy </w:t>
            </w:r>
          </w:p>
          <w:p w14:paraId="67946271" w14:textId="77777777" w:rsidR="00C315BE" w:rsidRDefault="00B35833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One to One English and Maths support </w:t>
            </w:r>
          </w:p>
          <w:p w14:paraId="4291752C" w14:textId="77777777" w:rsidR="00C315BE" w:rsidRDefault="00B35833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t xml:space="preserve">WRAT and CAT testing and associated reading tasks </w:t>
            </w:r>
          </w:p>
          <w:p w14:paraId="47367336" w14:textId="690B550A" w:rsidR="00C315BE" w:rsidRDefault="00403590" w:rsidP="00403590">
            <w:pPr>
              <w:numPr>
                <w:ilvl w:val="0"/>
                <w:numId w:val="1"/>
              </w:numPr>
              <w:spacing w:after="8" w:line="259" w:lineRule="auto"/>
              <w:ind w:right="0" w:hanging="360"/>
              <w:jc w:val="left"/>
            </w:pPr>
            <w:r>
              <w:t>Conquer Maths</w:t>
            </w:r>
          </w:p>
        </w:tc>
      </w:tr>
    </w:tbl>
    <w:p w14:paraId="1D395F0A" w14:textId="75AAEA76" w:rsidR="00AB2696" w:rsidRDefault="00AB2696">
      <w:pPr>
        <w:spacing w:after="0" w:line="259" w:lineRule="auto"/>
        <w:ind w:left="0" w:righ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957"/>
        <w:gridCol w:w="4122"/>
      </w:tblGrid>
      <w:tr w:rsidR="00A42BC3" w14:paraId="4EFB9F9E" w14:textId="77777777" w:rsidTr="73EB5DE8">
        <w:tc>
          <w:tcPr>
            <w:tcW w:w="9079" w:type="dxa"/>
            <w:gridSpan w:val="2"/>
            <w:shd w:val="clear" w:color="auto" w:fill="B4C6E7" w:themeFill="accent1" w:themeFillTint="66"/>
          </w:tcPr>
          <w:p w14:paraId="36EA20DD" w14:textId="0DEC3A6C" w:rsidR="00A42BC3" w:rsidRDefault="00A42BC3" w:rsidP="73EB5DE8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73EB5DE8">
              <w:rPr>
                <w:b/>
                <w:bCs/>
              </w:rPr>
              <w:t>Outcomes of 201</w:t>
            </w:r>
            <w:r w:rsidR="62625B03" w:rsidRPr="73EB5DE8">
              <w:rPr>
                <w:b/>
                <w:bCs/>
              </w:rPr>
              <w:t>9</w:t>
            </w:r>
            <w:r w:rsidRPr="73EB5DE8">
              <w:rPr>
                <w:b/>
                <w:bCs/>
              </w:rPr>
              <w:t>-</w:t>
            </w:r>
            <w:r w:rsidR="4D71415A" w:rsidRPr="73EB5DE8">
              <w:rPr>
                <w:b/>
                <w:bCs/>
              </w:rPr>
              <w:t>20</w:t>
            </w:r>
            <w:r w:rsidRPr="73EB5DE8">
              <w:rPr>
                <w:b/>
                <w:bCs/>
              </w:rPr>
              <w:t xml:space="preserve"> spending</w:t>
            </w:r>
          </w:p>
        </w:tc>
      </w:tr>
      <w:tr w:rsidR="00AB2696" w14:paraId="1C1F8881" w14:textId="77777777" w:rsidTr="00403590">
        <w:tc>
          <w:tcPr>
            <w:tcW w:w="4957" w:type="dxa"/>
          </w:tcPr>
          <w:p w14:paraId="2627485E" w14:textId="0DADEA48" w:rsidR="00AB2696" w:rsidRDefault="00A42BC3">
            <w:pPr>
              <w:spacing w:after="0" w:line="259" w:lineRule="auto"/>
              <w:ind w:left="0" w:right="0" w:firstLine="0"/>
            </w:pPr>
            <w:r>
              <w:t>Pupils arriving in Year 7 below the expected standard</w:t>
            </w:r>
          </w:p>
        </w:tc>
        <w:tc>
          <w:tcPr>
            <w:tcW w:w="4122" w:type="dxa"/>
          </w:tcPr>
          <w:p w14:paraId="4C0FFB11" w14:textId="31439CFE" w:rsidR="00AB2696" w:rsidRDefault="174CD847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</w:tr>
      <w:tr w:rsidR="00AB2696" w14:paraId="6AB9F2D1" w14:textId="77777777" w:rsidTr="00403590">
        <w:tc>
          <w:tcPr>
            <w:tcW w:w="4957" w:type="dxa"/>
          </w:tcPr>
          <w:p w14:paraId="5617A443" w14:textId="77777777" w:rsidR="00403590" w:rsidRDefault="00403590">
            <w:pPr>
              <w:spacing w:after="0" w:line="259" w:lineRule="auto"/>
              <w:ind w:left="0" w:right="0" w:firstLine="0"/>
            </w:pPr>
          </w:p>
          <w:p w14:paraId="13D260E4" w14:textId="77777777" w:rsidR="00403590" w:rsidRDefault="00403590">
            <w:pPr>
              <w:spacing w:after="0" w:line="259" w:lineRule="auto"/>
              <w:ind w:left="0" w:right="0" w:firstLine="0"/>
            </w:pPr>
          </w:p>
          <w:p w14:paraId="6FDE967D" w14:textId="77777777" w:rsidR="00403590" w:rsidRDefault="00403590">
            <w:pPr>
              <w:spacing w:after="0" w:line="259" w:lineRule="auto"/>
              <w:ind w:left="0" w:right="0" w:firstLine="0"/>
            </w:pPr>
          </w:p>
          <w:p w14:paraId="00C481BA" w14:textId="08DBB5EA" w:rsidR="00AB2696" w:rsidRDefault="00A42BC3">
            <w:pPr>
              <w:spacing w:after="0" w:line="259" w:lineRule="auto"/>
              <w:ind w:left="0" w:right="0" w:firstLine="0"/>
            </w:pPr>
            <w:r>
              <w:t>Student Progress</w:t>
            </w:r>
          </w:p>
        </w:tc>
        <w:tc>
          <w:tcPr>
            <w:tcW w:w="4122" w:type="dxa"/>
          </w:tcPr>
          <w:p w14:paraId="29723E73" w14:textId="77777777" w:rsidR="00A42BC3" w:rsidRDefault="00A42BC3" w:rsidP="00A42BC3">
            <w:pPr>
              <w:spacing w:after="0" w:line="239" w:lineRule="auto"/>
              <w:ind w:left="0" w:right="0" w:firstLine="0"/>
              <w:jc w:val="left"/>
            </w:pPr>
            <w:r>
              <w:t xml:space="preserve">All students have SEMH learning issues and have an EHCP on entry to the Specialist provision. </w:t>
            </w:r>
          </w:p>
          <w:p w14:paraId="1ED290E7" w14:textId="77777777" w:rsidR="00A42BC3" w:rsidRDefault="00A42BC3" w:rsidP="00A42BC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DB16D47" w14:textId="55F05410" w:rsidR="00AB2696" w:rsidRDefault="00403590" w:rsidP="00A42BC3">
            <w:pPr>
              <w:spacing w:after="0" w:line="259" w:lineRule="auto"/>
              <w:ind w:left="0" w:right="0" w:firstLine="0"/>
            </w:pPr>
            <w:r>
              <w:t>From March to September, schools were closed to the majority of students d</w:t>
            </w:r>
            <w:r w:rsidR="00A42BC3">
              <w:t>ue to the Pandemic</w:t>
            </w:r>
            <w:r>
              <w:t>. W</w:t>
            </w:r>
            <w:r w:rsidR="00A42BC3">
              <w:t xml:space="preserve">e were unable to complete the programme and </w:t>
            </w:r>
            <w:r>
              <w:t xml:space="preserve">it </w:t>
            </w:r>
            <w:r w:rsidR="00A42BC3">
              <w:t xml:space="preserve">therefore </w:t>
            </w:r>
            <w:r>
              <w:t xml:space="preserve">has been </w:t>
            </w:r>
            <w:r w:rsidR="00A42BC3">
              <w:t>difficult to assess outcomes.</w:t>
            </w:r>
            <w:r>
              <w:t xml:space="preserve"> Since September we have used the funding to assess students lost learning throughout this period and able to accurately analyse gaps in learning. </w:t>
            </w:r>
          </w:p>
        </w:tc>
      </w:tr>
    </w:tbl>
    <w:p w14:paraId="039DBF42" w14:textId="77777777" w:rsidR="00AB2696" w:rsidRDefault="00AB2696">
      <w:pPr>
        <w:spacing w:after="0" w:line="259" w:lineRule="auto"/>
        <w:ind w:left="0" w:right="0" w:firstLine="0"/>
      </w:pPr>
    </w:p>
    <w:p w14:paraId="223C4DA4" w14:textId="77777777" w:rsidR="00C315BE" w:rsidRDefault="00B35833">
      <w:pPr>
        <w:spacing w:after="15" w:line="228" w:lineRule="auto"/>
        <w:ind w:left="0" w:right="9011" w:firstLine="0"/>
      </w:pPr>
      <w:r>
        <w:t xml:space="preserve"> </w:t>
      </w:r>
      <w:r>
        <w:rPr>
          <w:b/>
          <w:sz w:val="28"/>
        </w:rPr>
        <w:t xml:space="preserve"> </w:t>
      </w:r>
    </w:p>
    <w:p w14:paraId="5017417D" w14:textId="77777777" w:rsidR="00403590" w:rsidRDefault="00B35833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2"/>
        <w:gridCol w:w="2847"/>
      </w:tblGrid>
      <w:tr w:rsidR="00403590" w14:paraId="32205098" w14:textId="77777777" w:rsidTr="000C4762">
        <w:tc>
          <w:tcPr>
            <w:tcW w:w="9079" w:type="dxa"/>
            <w:gridSpan w:val="2"/>
            <w:shd w:val="clear" w:color="auto" w:fill="B4C6E7" w:themeFill="accent1" w:themeFillTint="66"/>
          </w:tcPr>
          <w:p w14:paraId="2738339A" w14:textId="6B6DC48B" w:rsidR="00403590" w:rsidRDefault="00403590" w:rsidP="000C4762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 Use of the Year 7 Catch-up  2020</w:t>
            </w:r>
            <w:r w:rsidRPr="73EB5DE8">
              <w:rPr>
                <w:b/>
                <w:bCs/>
              </w:rPr>
              <w:t>-</w:t>
            </w:r>
            <w:r>
              <w:rPr>
                <w:b/>
                <w:bCs/>
              </w:rPr>
              <w:t>21</w:t>
            </w:r>
            <w:r w:rsidRPr="73EB5DE8">
              <w:rPr>
                <w:b/>
                <w:bCs/>
              </w:rPr>
              <w:t xml:space="preserve"> spending</w:t>
            </w:r>
          </w:p>
        </w:tc>
      </w:tr>
      <w:tr w:rsidR="00403590" w14:paraId="20BC3998" w14:textId="77777777" w:rsidTr="000C4762">
        <w:tc>
          <w:tcPr>
            <w:tcW w:w="6232" w:type="dxa"/>
          </w:tcPr>
          <w:p w14:paraId="46834B95" w14:textId="77777777" w:rsidR="00403590" w:rsidRDefault="00403590" w:rsidP="000C4762">
            <w:pPr>
              <w:spacing w:after="0" w:line="259" w:lineRule="auto"/>
              <w:ind w:left="0" w:right="0" w:firstLine="0"/>
            </w:pPr>
          </w:p>
          <w:p w14:paraId="22DB33B4" w14:textId="77777777" w:rsidR="00403590" w:rsidRDefault="00403590" w:rsidP="000C4762">
            <w:pPr>
              <w:spacing w:after="0" w:line="259" w:lineRule="auto"/>
              <w:ind w:left="0" w:right="0" w:firstLine="0"/>
            </w:pPr>
            <w:r>
              <w:t>The Year 7 Catch-Up fund has been replaced by the Covid Catch-Up fund which is called the GAP fund.</w:t>
            </w:r>
          </w:p>
          <w:p w14:paraId="1CC0B329" w14:textId="60792707" w:rsidR="00403590" w:rsidRDefault="00403590" w:rsidP="000C4762">
            <w:pPr>
              <w:spacing w:after="0" w:line="259" w:lineRule="auto"/>
              <w:ind w:left="0" w:right="0" w:firstLine="0"/>
            </w:pPr>
          </w:p>
        </w:tc>
        <w:tc>
          <w:tcPr>
            <w:tcW w:w="2847" w:type="dxa"/>
          </w:tcPr>
          <w:p w14:paraId="27A5DA80" w14:textId="182BEB0A" w:rsidR="00403590" w:rsidRDefault="00403590" w:rsidP="000C4762">
            <w:pPr>
              <w:spacing w:after="0" w:line="259" w:lineRule="auto"/>
              <w:ind w:left="0" w:right="0" w:firstLine="0"/>
            </w:pPr>
          </w:p>
        </w:tc>
      </w:tr>
    </w:tbl>
    <w:p w14:paraId="47F8F37D" w14:textId="77FA157D" w:rsidR="00421223" w:rsidRDefault="00421223">
      <w:pPr>
        <w:spacing w:after="0" w:line="259" w:lineRule="auto"/>
        <w:ind w:left="0" w:right="0" w:firstLine="0"/>
      </w:pPr>
    </w:p>
    <w:p w14:paraId="7E7B47EB" w14:textId="59D47E2A" w:rsidR="00C315BE" w:rsidRDefault="00C315BE">
      <w:pPr>
        <w:spacing w:after="0" w:line="259" w:lineRule="auto"/>
        <w:ind w:left="0" w:right="0" w:firstLine="0"/>
      </w:pPr>
    </w:p>
    <w:p w14:paraId="5A82FD2D" w14:textId="77777777" w:rsidR="00C315BE" w:rsidRDefault="00B35833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9C70D94" w14:textId="77777777" w:rsidR="00C315BE" w:rsidRDefault="00B35833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sectPr w:rsidR="00C315BE">
      <w:pgSz w:w="11906" w:h="16838"/>
      <w:pgMar w:top="1445" w:right="1377" w:bottom="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D6A"/>
    <w:multiLevelType w:val="hybridMultilevel"/>
    <w:tmpl w:val="29669990"/>
    <w:lvl w:ilvl="0" w:tplc="93D6FD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8C64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E55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2E0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40E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40C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C3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AE40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25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F3913"/>
    <w:multiLevelType w:val="hybridMultilevel"/>
    <w:tmpl w:val="B69CF2C6"/>
    <w:lvl w:ilvl="0" w:tplc="19C85F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C1A1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440E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AFF4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28FD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4113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A1F3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8C77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ADF4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E"/>
    <w:rsid w:val="00261471"/>
    <w:rsid w:val="00403590"/>
    <w:rsid w:val="00421223"/>
    <w:rsid w:val="00487B20"/>
    <w:rsid w:val="005369AE"/>
    <w:rsid w:val="00A42BC3"/>
    <w:rsid w:val="00AB2696"/>
    <w:rsid w:val="00B35833"/>
    <w:rsid w:val="00BE5254"/>
    <w:rsid w:val="00C315BE"/>
    <w:rsid w:val="0230F825"/>
    <w:rsid w:val="0ED19373"/>
    <w:rsid w:val="13ABB9EF"/>
    <w:rsid w:val="174CD847"/>
    <w:rsid w:val="1B2D3E99"/>
    <w:rsid w:val="2458B050"/>
    <w:rsid w:val="32572263"/>
    <w:rsid w:val="3BE7D179"/>
    <w:rsid w:val="44B2F03D"/>
    <w:rsid w:val="47219ABC"/>
    <w:rsid w:val="4D1666D3"/>
    <w:rsid w:val="4D71415A"/>
    <w:rsid w:val="5CBB30BB"/>
    <w:rsid w:val="5CD82AB3"/>
    <w:rsid w:val="62625B03"/>
    <w:rsid w:val="6544A473"/>
    <w:rsid w:val="6BD9BF48"/>
    <w:rsid w:val="7397A1A3"/>
    <w:rsid w:val="73EB5DE8"/>
    <w:rsid w:val="7D5C9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8380"/>
  <w15:docId w15:val="{65E94AB0-E084-4C3B-A530-32F45B3A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80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B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6DFEB5029334887BDEDB1F54C3012" ma:contentTypeVersion="8" ma:contentTypeDescription="Create a new document." ma:contentTypeScope="" ma:versionID="569cd96336173e3613cfe121f12fb71c">
  <xsd:schema xmlns:xsd="http://www.w3.org/2001/XMLSchema" xmlns:xs="http://www.w3.org/2001/XMLSchema" xmlns:p="http://schemas.microsoft.com/office/2006/metadata/properties" xmlns:ns3="93a72722-03f4-4a39-849c-0a79285e5c23" xmlns:ns4="6ad41050-4c82-4b19-951b-87c771506e64" targetNamespace="http://schemas.microsoft.com/office/2006/metadata/properties" ma:root="true" ma:fieldsID="09947b447c8365276ea1ee729b941609" ns3:_="" ns4:_="">
    <xsd:import namespace="93a72722-03f4-4a39-849c-0a79285e5c23"/>
    <xsd:import namespace="6ad41050-4c82-4b19-951b-87c771506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2722-03f4-4a39-849c-0a79285e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1050-4c82-4b19-951b-87c77150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8503C-E36D-4DCB-A585-6109F6D98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36656-F3DD-4AA7-B19F-AD8791B94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2722-03f4-4a39-849c-0a79285e5c23"/>
    <ds:schemaRef ds:uri="6ad41050-4c82-4b19-951b-87c771506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C30EF-D944-4566-B648-D44C0EBFA0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3a72722-03f4-4a39-849c-0a79285e5c23"/>
    <ds:schemaRef ds:uri="6ad41050-4c82-4b19-951b-87c771506e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Bamford</dc:creator>
  <cp:keywords/>
  <cp:lastModifiedBy>Karl Fenton</cp:lastModifiedBy>
  <cp:revision>2</cp:revision>
  <dcterms:created xsi:type="dcterms:W3CDTF">2021-02-12T09:13:00Z</dcterms:created>
  <dcterms:modified xsi:type="dcterms:W3CDTF">2021-02-12T09:13:00Z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0x0101000FA6DFEB5029334887BDEDB1F54C3012</vt:lpwstr>
  </property>
</Properties>
</file>